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40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580"/>
        <w:gridCol w:w="2560"/>
      </w:tblGrid>
      <w:tr w:rsidR="00064D37" w:rsidRPr="00064D37" w14:paraId="4A6DD111" w14:textId="77777777" w:rsidTr="00064D37">
        <w:trPr>
          <w:trHeight w:val="102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AE5132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ZGŁOSZENIE DO EWIDENCJI ZBIORNIKÓW BEZODPŁYWOWYCH</w:t>
            </w:r>
            <w:r w:rsidRPr="00064D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 xml:space="preserve"> ORAZ PRZYDOMOWYCH OCZYSZCZALNI ŚCIEKÓW</w:t>
            </w:r>
          </w:p>
        </w:tc>
      </w:tr>
      <w:tr w:rsidR="00064D37" w:rsidRPr="00064D37" w14:paraId="0B0C4D6B" w14:textId="77777777" w:rsidTr="00064D37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5436" w14:textId="77A3532E" w:rsidR="00064D37" w:rsidRPr="00064D37" w:rsidRDefault="00064D37" w:rsidP="0006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Właściciel/współwłaściciel/użytkownik nieruchomości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900F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 </w:t>
            </w:r>
          </w:p>
        </w:tc>
      </w:tr>
      <w:tr w:rsidR="00064D37" w:rsidRPr="00064D37" w14:paraId="34C68EB1" w14:textId="77777777" w:rsidTr="00064D37">
        <w:trPr>
          <w:trHeight w:val="5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BDA9" w14:textId="4FBB089E" w:rsidR="00064D37" w:rsidRPr="00064D37" w:rsidRDefault="00064D37" w:rsidP="0006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Adres nieruchomości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FAA5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 </w:t>
            </w:r>
          </w:p>
        </w:tc>
      </w:tr>
      <w:tr w:rsidR="00064D37" w:rsidRPr="00064D37" w14:paraId="1872F11C" w14:textId="77777777" w:rsidTr="00064D37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4CB" w14:textId="55466772" w:rsidR="00064D37" w:rsidRPr="00064D37" w:rsidRDefault="00064D37" w:rsidP="0006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Liczba osób zamieszkujących  nieruchomość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D714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 </w:t>
            </w:r>
          </w:p>
        </w:tc>
      </w:tr>
      <w:tr w:rsidR="00064D37" w:rsidRPr="00064D37" w14:paraId="11759005" w14:textId="77777777" w:rsidTr="00064D37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6A8" w14:textId="08FB5649" w:rsidR="00064D37" w:rsidRPr="00064D37" w:rsidRDefault="00064D37" w:rsidP="0006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numer telefonu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9972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 </w:t>
            </w:r>
          </w:p>
        </w:tc>
      </w:tr>
      <w:tr w:rsidR="00064D37" w:rsidRPr="00064D37" w14:paraId="606B51BE" w14:textId="77777777" w:rsidTr="00064D37">
        <w:trPr>
          <w:trHeight w:val="57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EFB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Sposób odprowadzania nieczystości ciekłych</w: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*</w: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:</w:t>
            </w:r>
          </w:p>
        </w:tc>
      </w:tr>
      <w:tr w:rsidR="00064D37" w:rsidRPr="00064D37" w14:paraId="7ABF83B1" w14:textId="77777777" w:rsidTr="00064D37">
        <w:trPr>
          <w:trHeight w:val="45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C8B5" w14:textId="6208A977" w:rsidR="00064D37" w:rsidRPr="00064D37" w:rsidRDefault="00064D37" w:rsidP="0006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86B4F" wp14:editId="585321A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0" t="0" r="28575" b="19050"/>
                      <wp:wrapNone/>
                      <wp:docPr id="3" name="Schemat blokowy: proces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06D7DD-224B-409D-86D4-BD2B5D40B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CD12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8.75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" fillcolor="white [3212]" strokecolor="#09101d [484]" strokeweight="1pt"/>
                  </w:pict>
                </mc:Fallback>
              </mc:AlternateConten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           inne </w:t>
            </w:r>
          </w:p>
        </w:tc>
      </w:tr>
      <w:tr w:rsidR="00064D37" w:rsidRPr="00064D37" w14:paraId="59409AEB" w14:textId="77777777" w:rsidTr="00064D37">
        <w:trPr>
          <w:trHeight w:val="435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297E" w14:textId="07D43013" w:rsidR="00064D37" w:rsidRPr="00064D37" w:rsidRDefault="00064D37" w:rsidP="0006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DF7993" wp14:editId="3A3CAAC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19685</wp:posOffset>
                      </wp:positionV>
                      <wp:extent cx="180975" cy="171450"/>
                      <wp:effectExtent l="0" t="0" r="28575" b="19050"/>
                      <wp:wrapNone/>
                      <wp:docPr id="1014088467" name="Schemat blokowy: proces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866E2" id="Schemat blokowy: proces 2" o:spid="_x0000_s1026" type="#_x0000_t109" style="position:absolute;margin-left:8.6pt;margin-top:1.5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" fillcolor="white [3212]" strokecolor="#09101d [484]" strokeweight="1pt"/>
                  </w:pict>
                </mc:Fallback>
              </mc:AlternateConten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</w: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zbiornik bezodpływowy</w:t>
            </w:r>
          </w:p>
        </w:tc>
      </w:tr>
      <w:tr w:rsidR="00064D37" w:rsidRPr="00064D37" w14:paraId="49622174" w14:textId="77777777" w:rsidTr="00064D37">
        <w:trPr>
          <w:trHeight w:val="45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28A" w14:textId="75047557" w:rsidR="00064D37" w:rsidRPr="00064D37" w:rsidRDefault="00064D37" w:rsidP="0006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6C9BD" wp14:editId="2A31786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16510</wp:posOffset>
                      </wp:positionV>
                      <wp:extent cx="180975" cy="171450"/>
                      <wp:effectExtent l="0" t="0" r="28575" b="19050"/>
                      <wp:wrapNone/>
                      <wp:docPr id="1859113805" name="Schemat blokowy: proces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83DC" id="Schemat blokowy: proces 2" o:spid="_x0000_s1026" type="#_x0000_t109" style="position:absolute;margin-left:8.75pt;margin-top:1.3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" fillcolor="white [3212]" strokecolor="#09101d [484]" strokeweight="1pt"/>
                  </w:pict>
                </mc:Fallback>
              </mc:AlternateConten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</w: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przydomowa oczyszczalnia ścieków</w:t>
            </w:r>
          </w:p>
        </w:tc>
      </w:tr>
      <w:tr w:rsidR="00064D37" w:rsidRPr="00064D37" w14:paraId="2116A9D5" w14:textId="77777777" w:rsidTr="00064D37">
        <w:trPr>
          <w:trHeight w:val="87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4AA3741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4D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Dane techniczne zbiornika bezodpływowego / przydomowej oczyszczalni</w:t>
            </w:r>
            <w:r w:rsidRPr="00064D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  <w:r w:rsidRPr="00064D3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(dotyczy wyłącznie budynków nie podłączonych do sieci kanalizacyjnej)</w:t>
            </w:r>
          </w:p>
        </w:tc>
      </w:tr>
      <w:tr w:rsidR="00064D37" w:rsidRPr="00064D37" w14:paraId="48A67734" w14:textId="77777777" w:rsidTr="00064D37">
        <w:trPr>
          <w:trHeight w:val="4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576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Pojemność [m3]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3BD6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64D37" w:rsidRPr="00064D37" w14:paraId="48E015F8" w14:textId="77777777" w:rsidTr="00064D37">
        <w:trPr>
          <w:trHeight w:val="13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E666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Technologia wykonania zbiornika </w: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(kręgi betonowe, metalowy, poliestrowy, zalewane betonem etc. - typ przydomowej oczyszczalni)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EAF19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64D37" w:rsidRPr="00064D37" w14:paraId="4E6D9F41" w14:textId="77777777" w:rsidTr="00064D37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944C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 jest podpisana umowa z firmą na opróżnianie zbiornika*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335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ABCC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</w:tr>
      <w:tr w:rsidR="00064D37" w:rsidRPr="00064D37" w14:paraId="5AF0B14B" w14:textId="77777777" w:rsidTr="00064D37">
        <w:trPr>
          <w:trHeight w:val="4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AE6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zawarcia umowy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2509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64D37" w:rsidRPr="00064D37" w14:paraId="62E7DDB9" w14:textId="77777777" w:rsidTr="00064D37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8128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i adres firmy świadczącej usługę wywozu nieczystości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DBF7D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64D37" w:rsidRPr="00064D37" w14:paraId="0BE02D26" w14:textId="77777777" w:rsidTr="00064D37">
        <w:trPr>
          <w:trHeight w:val="1365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EB3" w14:textId="737C2393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Częstotliwość</w: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opróżniania zbiornika</w:t>
            </w: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 (m3/na miesiąc, kwartał, rok, bądź wg. instrukcji) w przypadku oczyszczalni podać ilość wywożonego osadu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49D4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64D37" w:rsidRPr="00064D37" w14:paraId="1808E006" w14:textId="77777777" w:rsidTr="00064D37">
        <w:trPr>
          <w:trHeight w:val="4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A32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Data ostatniego wywozu nieczystości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9AD45" w14:textId="77777777" w:rsidR="00064D37" w:rsidRPr="00064D37" w:rsidRDefault="00064D37" w:rsidP="0006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4D3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A7B75D6" w14:textId="77777777" w:rsidR="00064D37" w:rsidRPr="00064D37" w:rsidRDefault="00064D37" w:rsidP="00064D37">
      <w:pPr>
        <w:spacing w:after="0"/>
        <w:rPr>
          <w:i/>
          <w:iCs/>
          <w:sz w:val="6"/>
          <w:szCs w:val="6"/>
        </w:rPr>
      </w:pPr>
    </w:p>
    <w:p w14:paraId="01946327" w14:textId="71725486" w:rsidR="00064D37" w:rsidRDefault="00064D37" w:rsidP="00064D37">
      <w:pPr>
        <w:spacing w:after="0"/>
        <w:rPr>
          <w:i/>
          <w:iCs/>
          <w:sz w:val="18"/>
          <w:szCs w:val="18"/>
        </w:rPr>
      </w:pPr>
      <w:r w:rsidRPr="00064D37">
        <w:rPr>
          <w:i/>
          <w:iCs/>
          <w:sz w:val="18"/>
          <w:szCs w:val="18"/>
        </w:rPr>
        <w:t>* właściwe zakreślić</w:t>
      </w:r>
    </w:p>
    <w:p w14:paraId="6E3907D6" w14:textId="77777777" w:rsidR="00064D37" w:rsidRDefault="00064D37" w:rsidP="00064D37">
      <w:pPr>
        <w:spacing w:after="0"/>
        <w:rPr>
          <w:i/>
          <w:iCs/>
          <w:sz w:val="18"/>
          <w:szCs w:val="18"/>
        </w:rPr>
      </w:pPr>
    </w:p>
    <w:p w14:paraId="5A13CB10" w14:textId="7E2861B3" w:rsidR="00064D37" w:rsidRDefault="00064D37" w:rsidP="00064D37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*załącznik</w:t>
      </w:r>
    </w:p>
    <w:p w14:paraId="0AEC78B8" w14:textId="77777777" w:rsidR="00064D37" w:rsidRPr="00064D37" w:rsidRDefault="00064D37" w:rsidP="00064D37">
      <w:pPr>
        <w:spacing w:after="0"/>
        <w:rPr>
          <w:i/>
          <w:iCs/>
          <w:sz w:val="6"/>
          <w:szCs w:val="6"/>
        </w:rPr>
      </w:pPr>
    </w:p>
    <w:p w14:paraId="16E3AB46" w14:textId="77777777" w:rsidR="00064D37" w:rsidRPr="00064D37" w:rsidRDefault="00064D37" w:rsidP="00064D37">
      <w:pPr>
        <w:spacing w:after="0"/>
        <w:rPr>
          <w:i/>
          <w:iCs/>
          <w:sz w:val="4"/>
          <w:szCs w:val="4"/>
        </w:rPr>
      </w:pPr>
    </w:p>
    <w:p w14:paraId="47107D06" w14:textId="26CC368D" w:rsidR="00064D37" w:rsidRPr="00064D37" w:rsidRDefault="00064D37" w:rsidP="00064D37">
      <w:pPr>
        <w:spacing w:after="0"/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CDFD" wp14:editId="2A7E16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5691853" name="Schemat blokowy: proces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5F53" id="Schemat blokowy: proces 2" o:spid="_x0000_s1026" type="#_x0000_t109" style="position:absolute;margin-left:0;margin-top:0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" fillcolor="white [3212]" strokecolor="#09101d [484]" strokeweight="1pt"/>
            </w:pict>
          </mc:Fallback>
        </mc:AlternateContent>
      </w:r>
      <w:r>
        <w:t xml:space="preserve">      </w:t>
      </w:r>
      <w:r w:rsidRPr="00064D37">
        <w:t>Oświadczeni</w:t>
      </w:r>
      <w:r>
        <w:t>e</w:t>
      </w:r>
    </w:p>
    <w:p w14:paraId="03FAACFD" w14:textId="03558D87" w:rsidR="00064D37" w:rsidRDefault="00064D37" w:rsidP="00064D37">
      <w:pPr>
        <w:spacing w:after="0"/>
      </w:pPr>
      <w: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741E4" wp14:editId="6F37A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729419299" name="Schemat blokowy: proces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43FC" id="Schemat blokowy: proces 2" o:spid="_x0000_s1026" type="#_x0000_t109" style="position:absolute;margin-left:0;margin-top:0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" fillcolor="white [3212]" strokecolor="#09101d [484]" strokeweight="1pt"/>
            </w:pict>
          </mc:Fallback>
        </mc:AlternateContent>
      </w:r>
      <w:r>
        <w:t xml:space="preserve">   </w:t>
      </w:r>
      <w:r w:rsidRPr="00064D37">
        <w:t>Faktur</w:t>
      </w:r>
      <w:r>
        <w:t>a</w:t>
      </w:r>
    </w:p>
    <w:p w14:paraId="22EAE6C4" w14:textId="77777777" w:rsidR="00064D37" w:rsidRDefault="00064D37" w:rsidP="00064D37">
      <w:pPr>
        <w:spacing w:after="0"/>
      </w:pPr>
    </w:p>
    <w:p w14:paraId="7BE384DD" w14:textId="77777777" w:rsidR="00064D37" w:rsidRDefault="00064D37" w:rsidP="00064D37">
      <w:pPr>
        <w:spacing w:after="0"/>
      </w:pPr>
    </w:p>
    <w:p w14:paraId="40C37E2C" w14:textId="77777777" w:rsidR="00064D37" w:rsidRDefault="00064D37" w:rsidP="00064D37">
      <w:pPr>
        <w:spacing w:after="0"/>
      </w:pPr>
    </w:p>
    <w:p w14:paraId="29EFC014" w14:textId="77777777" w:rsidR="00064D37" w:rsidRPr="00660D8F" w:rsidRDefault="00064D37" w:rsidP="00064D37">
      <w:pPr>
        <w:widowControl w:val="0"/>
        <w:autoSpaceDE w:val="0"/>
        <w:autoSpaceDN w:val="0"/>
        <w:spacing w:before="1" w:after="0" w:line="240" w:lineRule="auto"/>
        <w:ind w:left="5547" w:right="463"/>
        <w:rPr>
          <w:rFonts w:ascii="Times New Roman" w:eastAsia="Times New Roman" w:hAnsi="Times New Roman" w:cs="Times New Roman"/>
          <w:sz w:val="16"/>
          <w:szCs w:val="16"/>
        </w:rPr>
      </w:pPr>
      <w:r w:rsidRPr="00660D8F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</w:p>
    <w:p w14:paraId="6DA87A75" w14:textId="77777777" w:rsidR="00064D37" w:rsidRDefault="00064D37" w:rsidP="00064D37">
      <w:pPr>
        <w:widowControl w:val="0"/>
        <w:autoSpaceDE w:val="0"/>
        <w:autoSpaceDN w:val="0"/>
        <w:spacing w:before="5" w:after="0" w:line="240" w:lineRule="auto"/>
        <w:ind w:left="5547" w:right="45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0D8F">
        <w:rPr>
          <w:rFonts w:ascii="Times New Roman" w:eastAsia="Times New Roman" w:hAnsi="Times New Roman" w:cs="Times New Roman"/>
          <w:b/>
          <w:sz w:val="16"/>
          <w:szCs w:val="16"/>
        </w:rPr>
        <w:t>(data</w:t>
      </w:r>
      <w:r w:rsidRPr="00660D8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660D8F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660D8F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 w:rsidRPr="00660D8F">
        <w:rPr>
          <w:rFonts w:ascii="Times New Roman" w:eastAsia="Times New Roman" w:hAnsi="Times New Roman" w:cs="Times New Roman"/>
          <w:b/>
          <w:sz w:val="16"/>
          <w:szCs w:val="16"/>
        </w:rPr>
        <w:t>czytelny</w:t>
      </w:r>
      <w:r w:rsidRPr="00660D8F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660D8F">
        <w:rPr>
          <w:rFonts w:ascii="Times New Roman" w:eastAsia="Times New Roman" w:hAnsi="Times New Roman" w:cs="Times New Roman"/>
          <w:b/>
          <w:sz w:val="16"/>
          <w:szCs w:val="16"/>
        </w:rPr>
        <w:t>podpis)</w:t>
      </w:r>
    </w:p>
    <w:p w14:paraId="4BC1850B" w14:textId="77777777" w:rsidR="00064D37" w:rsidRPr="00741737" w:rsidRDefault="00064D37" w:rsidP="00064D37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741737">
        <w:rPr>
          <w:rFonts w:asciiTheme="majorHAnsi" w:hAnsiTheme="majorHAnsi" w:cstheme="majorHAnsi"/>
          <w:b/>
          <w:bCs/>
          <w:sz w:val="18"/>
          <w:szCs w:val="18"/>
        </w:rPr>
        <w:lastRenderedPageBreak/>
        <w:t>podstawa prawna:</w:t>
      </w:r>
    </w:p>
    <w:p w14:paraId="5A19E690" w14:textId="77777777" w:rsidR="00064D37" w:rsidRDefault="00064D37" w:rsidP="00064D37">
      <w:pPr>
        <w:spacing w:after="0"/>
        <w:jc w:val="both"/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sz w:val="18"/>
          <w:szCs w:val="18"/>
        </w:rPr>
        <w:t>Z</w:t>
      </w:r>
      <w:r w:rsidRPr="00741737">
        <w:rPr>
          <w:rFonts w:asciiTheme="majorHAnsi" w:hAnsiTheme="majorHAnsi" w:cstheme="majorHAnsi"/>
          <w:sz w:val="18"/>
          <w:szCs w:val="18"/>
        </w:rPr>
        <w:t xml:space="preserve">godnie z art.6 ust.5a pkt.1 ustawy o utrzymaniu czystości i porządku w gminach  - </w:t>
      </w:r>
      <w:r w:rsidRPr="00741737"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  <w:t>Wójt, burmistrz lub prezydent miasta kontroluje: dowody uiszczania opłat za usługi, o których mowa w ust. 1, lub inny sposób udokumentowania wykonania obowiązków, o których mowa w </w:t>
      </w:r>
      <w:hyperlink r:id="rId5" w:history="1">
        <w:r w:rsidRPr="00741737">
          <w:rPr>
            <w:rStyle w:val="Hipercze"/>
            <w:rFonts w:asciiTheme="majorHAnsi" w:hAnsiTheme="majorHAnsi" w:cstheme="majorHAnsi"/>
            <w:color w:val="116634"/>
            <w:sz w:val="18"/>
            <w:szCs w:val="18"/>
            <w:shd w:val="clear" w:color="auto" w:fill="FFFFFF"/>
          </w:rPr>
          <w:t>art. 5 ust. 1 pkt 3b</w:t>
        </w:r>
      </w:hyperlink>
      <w:r w:rsidRPr="00741737"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  <w:t>.</w:t>
      </w:r>
    </w:p>
    <w:p w14:paraId="2EAF0DE9" w14:textId="77777777" w:rsidR="00064D37" w:rsidRPr="00741737" w:rsidRDefault="00064D37" w:rsidP="00064D37">
      <w:pPr>
        <w:spacing w:after="0"/>
        <w:jc w:val="both"/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</w:pPr>
    </w:p>
    <w:p w14:paraId="0CB57731" w14:textId="77777777" w:rsidR="00064D37" w:rsidRDefault="00064D37" w:rsidP="00064D3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  <w:r w:rsidRPr="0040458A">
        <w:rPr>
          <w:rFonts w:asciiTheme="majorHAnsi" w:hAnsiTheme="majorHAnsi" w:cstheme="majorHAnsi"/>
          <w:b/>
          <w:bCs/>
          <w:color w:val="000000"/>
          <w:sz w:val="16"/>
          <w:szCs w:val="16"/>
        </w:rPr>
        <w:t>EWIDENCJA ZBIORNIKÓW BEZODPŁYWOWYCH ORAZ PRZYDOMOWYCH OCZYSZCZALNI ŚCIEKÓW</w:t>
      </w:r>
    </w:p>
    <w:p w14:paraId="28AA5A95" w14:textId="77777777" w:rsidR="00064D37" w:rsidRPr="0040458A" w:rsidRDefault="00064D37" w:rsidP="00064D3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2A61E06B" w14:textId="77777777" w:rsidR="00064D37" w:rsidRPr="0040458A" w:rsidRDefault="00064D37" w:rsidP="00064D37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0458A">
        <w:rPr>
          <w:rFonts w:asciiTheme="majorHAnsi" w:hAnsiTheme="majorHAnsi" w:cstheme="majorHAnsi"/>
          <w:color w:val="000000"/>
          <w:sz w:val="16"/>
          <w:szCs w:val="16"/>
        </w:rPr>
        <w:t>W związku z obowiązkiem prowadzenia przez Gminę Żagań ewidencji zbiorników bezodpływowych i przydomowych oczyszczalni ścieków, należy wypełnić druk zgłoszenia dotyczącego posiadanego zbiornika bezodpływowego (tzw. szamba) lub przydomowej oczyszczalni ścieków i dostarczyć do Urzędu Gminy Żagań.</w:t>
      </w:r>
    </w:p>
    <w:p w14:paraId="07EB3DFE" w14:textId="77777777" w:rsidR="00064D37" w:rsidRPr="0040458A" w:rsidRDefault="00064D37" w:rsidP="00064D3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40458A">
        <w:rPr>
          <w:rFonts w:asciiTheme="majorHAnsi" w:hAnsiTheme="majorHAnsi" w:cstheme="majorHAnsi"/>
          <w:color w:val="000000"/>
          <w:sz w:val="16"/>
          <w:szCs w:val="16"/>
        </w:rPr>
        <w:t>Wypełniony druk należy złożyć w biurze podawczym Urzędu Gminy Żagań lub przesłać pocztą tradycyjną na adres: Urząd Gminy Żagań, ul. Armii Krajowej 9, 68-100 Żagań. Podstawa prawna: art. 3 ust. 3 pkt 1 i 2 ustawy z dnia 13 września 1996 r. o utrzymaniu czystości i porządku w gminach (</w:t>
      </w:r>
      <w:proofErr w:type="spellStart"/>
      <w:r w:rsidRPr="0040458A">
        <w:rPr>
          <w:rFonts w:asciiTheme="majorHAnsi" w:hAnsiTheme="majorHAnsi" w:cstheme="majorHAnsi"/>
          <w:color w:val="000000"/>
          <w:sz w:val="16"/>
          <w:szCs w:val="16"/>
        </w:rPr>
        <w:t>t.j</w:t>
      </w:r>
      <w:proofErr w:type="spellEnd"/>
      <w:r w:rsidRPr="0040458A">
        <w:rPr>
          <w:rFonts w:asciiTheme="majorHAnsi" w:hAnsiTheme="majorHAnsi" w:cstheme="majorHAnsi"/>
          <w:color w:val="000000"/>
          <w:sz w:val="16"/>
          <w:szCs w:val="16"/>
        </w:rPr>
        <w:t>. Dz. U. z 2022 r. poz. 2519). Druk zgłoszenia dostępny jest w biurze podawczym lub na stronie internetowej Urzędu Gminy Żagań.</w:t>
      </w:r>
    </w:p>
    <w:p w14:paraId="66B5F9EF" w14:textId="77777777" w:rsidR="00064D37" w:rsidRPr="0040458A" w:rsidRDefault="00064D37" w:rsidP="00064D3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6E423CA8" w14:textId="77777777" w:rsidR="00064D37" w:rsidRDefault="00064D37" w:rsidP="00064D3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  <w:r w:rsidRPr="0040458A">
        <w:rPr>
          <w:rFonts w:asciiTheme="majorHAnsi" w:hAnsiTheme="majorHAnsi" w:cstheme="majorHAnsi"/>
          <w:b/>
          <w:bCs/>
          <w:color w:val="000000"/>
          <w:sz w:val="16"/>
          <w:szCs w:val="16"/>
        </w:rPr>
        <w:t>KONTROLA ZBIORNIKÓW BEZODPŁYWYWYCH ORAZ PRZYDOMOWYCH OCZYSZCZALNI ŚCIEKÓW</w:t>
      </w:r>
    </w:p>
    <w:p w14:paraId="7E1DFC61" w14:textId="77777777" w:rsidR="00064D37" w:rsidRPr="0040458A" w:rsidRDefault="00064D37" w:rsidP="00064D3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F67FF1C" w14:textId="77777777" w:rsidR="00064D37" w:rsidRPr="0040458A" w:rsidRDefault="00064D37" w:rsidP="00064D3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40458A">
        <w:rPr>
          <w:rFonts w:asciiTheme="majorHAnsi" w:hAnsiTheme="majorHAnsi" w:cstheme="majorHAnsi"/>
          <w:color w:val="000000"/>
          <w:sz w:val="16"/>
          <w:szCs w:val="16"/>
        </w:rPr>
        <w:t>Wydział Gospodarki Komunalnej, Nieruchomości i Rozwoju Urzędu Gminy Żagań, przeprowadza kontrolę zbiorników bezodpływowych oraz przydomowych oczyszczalni ścieków na terenie Gminy Żagań. Podczas kontroli sprawdzane są umowy oraz rachunki potwierdzające wywóz nieczystości ciekłych. Ponadto, w uzasadnionych przypadkach sprawdzana jest szczelność zbiorników bezodpływowych na nieczystości ciekłe, w celu określenia ryzyka zanieczyszczenia wód gruntowych odciekami pochodzącymi z tych zbiorników. W ramach prowadzonych kontroli mieszkańcy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40458A">
        <w:rPr>
          <w:rFonts w:asciiTheme="majorHAnsi" w:hAnsiTheme="majorHAnsi" w:cstheme="majorHAnsi"/>
          <w:color w:val="000000"/>
          <w:sz w:val="16"/>
          <w:szCs w:val="16"/>
        </w:rPr>
        <w:t>będą również wzywani do Urzędu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40458A">
        <w:rPr>
          <w:rFonts w:asciiTheme="majorHAnsi" w:hAnsiTheme="majorHAnsi" w:cstheme="majorHAnsi"/>
          <w:color w:val="000000"/>
          <w:sz w:val="16"/>
          <w:szCs w:val="16"/>
        </w:rPr>
        <w:t>celem okazania umowy oraz rachunków potwierdzających wywóz nieczystości ciekłych.</w:t>
      </w:r>
    </w:p>
    <w:p w14:paraId="33B2C856" w14:textId="77777777" w:rsidR="00064D37" w:rsidRPr="0040458A" w:rsidRDefault="00064D37" w:rsidP="00064D3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40458A">
        <w:rPr>
          <w:rFonts w:asciiTheme="majorHAnsi" w:hAnsiTheme="majorHAnsi" w:cstheme="majorHAnsi"/>
          <w:color w:val="000000"/>
          <w:sz w:val="16"/>
          <w:szCs w:val="16"/>
        </w:rPr>
        <w:t>Zgodnie z art. 9u ustawy z dnia 13 września 1996 r. o utrzymaniu czystości i porządku w gminach (</w:t>
      </w:r>
      <w:proofErr w:type="spellStart"/>
      <w:r w:rsidRPr="0040458A">
        <w:rPr>
          <w:rFonts w:asciiTheme="majorHAnsi" w:hAnsiTheme="majorHAnsi" w:cstheme="majorHAnsi"/>
          <w:color w:val="000000"/>
          <w:sz w:val="16"/>
          <w:szCs w:val="16"/>
        </w:rPr>
        <w:t>t.j</w:t>
      </w:r>
      <w:proofErr w:type="spellEnd"/>
      <w:r w:rsidRPr="0040458A">
        <w:rPr>
          <w:rFonts w:asciiTheme="majorHAnsi" w:hAnsiTheme="majorHAnsi" w:cstheme="majorHAnsi"/>
          <w:color w:val="000000"/>
          <w:sz w:val="16"/>
          <w:szCs w:val="16"/>
        </w:rPr>
        <w:t>. Dz. U. z 2022 r., poz. 2519) Wójt Gminy Żagań sprawuje kontrolę przestrzegania i stosowania przepisów wynikających z cyt. wyżej ustawy. Do kontroli, stosuje się przepisy art. 379 i art. 380 ustawy z dnia 27 kwietnia 2001 r. Prawo ochrony środowiska (</w:t>
      </w:r>
      <w:proofErr w:type="spellStart"/>
      <w:r w:rsidRPr="0040458A">
        <w:rPr>
          <w:rFonts w:asciiTheme="majorHAnsi" w:hAnsiTheme="majorHAnsi" w:cstheme="majorHAnsi"/>
          <w:color w:val="000000"/>
          <w:sz w:val="16"/>
          <w:szCs w:val="16"/>
        </w:rPr>
        <w:t>t.j</w:t>
      </w:r>
      <w:proofErr w:type="spellEnd"/>
      <w:r w:rsidRPr="0040458A">
        <w:rPr>
          <w:rFonts w:asciiTheme="majorHAnsi" w:hAnsiTheme="majorHAnsi" w:cstheme="majorHAnsi"/>
          <w:color w:val="000000"/>
          <w:sz w:val="16"/>
          <w:szCs w:val="16"/>
        </w:rPr>
        <w:t>. Dz. U. z 2022 r. poz. 2556). Ponadto zgodnie z art. 363 w/w ustawy, Wójt Gminy może w drodze decyzji nakazać osobie fizycznej, której działanie negatywnie oddziałuje na środowisko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40458A">
        <w:rPr>
          <w:rFonts w:asciiTheme="majorHAnsi" w:hAnsiTheme="majorHAnsi" w:cstheme="majorHAnsi"/>
          <w:color w:val="000000"/>
          <w:sz w:val="16"/>
          <w:szCs w:val="16"/>
        </w:rPr>
        <w:t>wykonanie w określonym czasie czynności zmierzających do:</w:t>
      </w:r>
    </w:p>
    <w:p w14:paraId="6CBC6C0C" w14:textId="77777777" w:rsidR="00064D37" w:rsidRPr="0040458A" w:rsidRDefault="00064D37" w:rsidP="00064D3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40458A">
        <w:rPr>
          <w:rFonts w:asciiTheme="majorHAnsi" w:hAnsiTheme="majorHAnsi" w:cstheme="majorHAnsi"/>
          <w:color w:val="000000"/>
          <w:sz w:val="16"/>
          <w:szCs w:val="16"/>
        </w:rPr>
        <w:t>1) ograniczenia negatywnego oddziaływania na środowisko i jego zagrożenia;</w:t>
      </w:r>
    </w:p>
    <w:p w14:paraId="1389FC47" w14:textId="77777777" w:rsidR="00064D37" w:rsidRPr="0040458A" w:rsidRDefault="00064D37" w:rsidP="00064D3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40458A">
        <w:rPr>
          <w:rFonts w:asciiTheme="majorHAnsi" w:hAnsiTheme="majorHAnsi" w:cstheme="majorHAnsi"/>
          <w:color w:val="000000"/>
          <w:sz w:val="16"/>
          <w:szCs w:val="16"/>
        </w:rPr>
        <w:t>2) przywrócenia środowiska do stanu właściwego.</w:t>
      </w:r>
    </w:p>
    <w:p w14:paraId="2F9FE345" w14:textId="77777777" w:rsidR="00064D37" w:rsidRDefault="00064D37" w:rsidP="00064D37">
      <w:pPr>
        <w:jc w:val="both"/>
      </w:pPr>
    </w:p>
    <w:p w14:paraId="23DE9FBE" w14:textId="77777777" w:rsidR="00064D37" w:rsidRDefault="00064D37" w:rsidP="00064D37">
      <w:pPr>
        <w:rPr>
          <w:rFonts w:asciiTheme="majorHAnsi" w:hAnsiTheme="majorHAnsi" w:cstheme="majorHAnsi"/>
        </w:rPr>
      </w:pPr>
    </w:p>
    <w:p w14:paraId="2EA2EF0D" w14:textId="77777777" w:rsidR="00064D37" w:rsidRPr="0040458A" w:rsidRDefault="00064D37" w:rsidP="00064D37">
      <w:pPr>
        <w:rPr>
          <w:rFonts w:asciiTheme="majorHAnsi" w:hAnsiTheme="majorHAnsi" w:cstheme="majorHAnsi"/>
        </w:rPr>
      </w:pPr>
    </w:p>
    <w:p w14:paraId="3BB993F3" w14:textId="77777777" w:rsidR="00064D37" w:rsidRPr="0040458A" w:rsidRDefault="00064D37" w:rsidP="00064D37">
      <w:pPr>
        <w:widowControl w:val="0"/>
        <w:autoSpaceDE w:val="0"/>
        <w:autoSpaceDN w:val="0"/>
        <w:spacing w:after="0" w:line="240" w:lineRule="auto"/>
        <w:ind w:left="112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b/>
          <w:bCs/>
          <w:sz w:val="16"/>
          <w:szCs w:val="16"/>
        </w:rPr>
        <w:t>Obowiązek</w:t>
      </w:r>
      <w:r w:rsidRPr="0040458A">
        <w:rPr>
          <w:rFonts w:asciiTheme="majorHAnsi" w:eastAsia="Times New Roman" w:hAnsiTheme="majorHAnsi" w:cstheme="majorHAnsi"/>
          <w:b/>
          <w:bCs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b/>
          <w:bCs/>
          <w:sz w:val="16"/>
          <w:szCs w:val="16"/>
        </w:rPr>
        <w:t>informacyjny</w:t>
      </w:r>
    </w:p>
    <w:p w14:paraId="596D9D07" w14:textId="77777777" w:rsidR="00064D37" w:rsidRPr="0040458A" w:rsidRDefault="00064D37" w:rsidP="00064D37">
      <w:pPr>
        <w:widowControl w:val="0"/>
        <w:autoSpaceDE w:val="0"/>
        <w:autoSpaceDN w:val="0"/>
        <w:spacing w:before="91" w:after="0" w:line="240" w:lineRule="auto"/>
        <w:ind w:left="112" w:right="263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Na</w:t>
      </w:r>
      <w:r w:rsidRPr="0040458A">
        <w:rPr>
          <w:rFonts w:asciiTheme="majorHAnsi" w:eastAsia="Times New Roman" w:hAnsiTheme="majorHAnsi" w:cstheme="majorHAnsi"/>
          <w:spacing w:val="-9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podstawie</w:t>
      </w:r>
      <w:r w:rsidRPr="0040458A">
        <w:rPr>
          <w:rFonts w:asciiTheme="majorHAnsi" w:eastAsia="Times New Roman" w:hAnsiTheme="majorHAnsi" w:cstheme="majorHAnsi"/>
          <w:spacing w:val="-7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art.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13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ust.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1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i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2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Rozporządzenia</w:t>
      </w:r>
      <w:r w:rsidRPr="0040458A">
        <w:rPr>
          <w:rFonts w:asciiTheme="majorHAnsi" w:eastAsia="Times New Roman" w:hAnsiTheme="majorHAnsi" w:cstheme="majorHAnsi"/>
          <w:spacing w:val="-9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Parlamentu</w:t>
      </w:r>
      <w:r w:rsidRPr="0040458A">
        <w:rPr>
          <w:rFonts w:asciiTheme="majorHAnsi" w:eastAsia="Times New Roman" w:hAnsiTheme="majorHAnsi" w:cstheme="majorHAnsi"/>
          <w:spacing w:val="-9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Europejskiego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i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Rady</w:t>
      </w:r>
      <w:r w:rsidRPr="0040458A">
        <w:rPr>
          <w:rFonts w:asciiTheme="majorHAnsi" w:eastAsia="Times New Roman" w:hAnsiTheme="majorHAnsi" w:cstheme="majorHAnsi"/>
          <w:spacing w:val="-1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(UE)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2016/679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27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kwietnia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2016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r.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sprawie</w:t>
      </w:r>
      <w:r w:rsidRPr="0040458A">
        <w:rPr>
          <w:rFonts w:asciiTheme="majorHAnsi" w:eastAsia="Times New Roman" w:hAnsiTheme="majorHAnsi" w:cstheme="majorHAnsi"/>
          <w:spacing w:val="-47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ochrony osób fizycznych w związku z przetwarzaniem danych osobowych i w sprawie swobodnego przepływu takich danych oraz</w:t>
      </w:r>
      <w:r w:rsidRPr="0040458A">
        <w:rPr>
          <w:rFonts w:asciiTheme="majorHAnsi" w:eastAsia="Times New Roman" w:hAnsiTheme="majorHAnsi" w:cstheme="majorHAnsi"/>
          <w:spacing w:val="-47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uchylenia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dyrektywy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95/46/WE (Dz.</w:t>
      </w:r>
      <w:r w:rsidRPr="0040458A">
        <w:rPr>
          <w:rFonts w:asciiTheme="majorHAnsi" w:eastAsia="Times New Roman" w:hAnsiTheme="majorHAnsi" w:cstheme="majorHAnsi"/>
          <w:spacing w:val="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U. UE.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L.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2016</w:t>
      </w:r>
      <w:r w:rsidRPr="0040458A">
        <w:rPr>
          <w:rFonts w:asciiTheme="majorHAnsi" w:eastAsia="Times New Roman" w:hAnsiTheme="majorHAnsi" w:cstheme="majorHAnsi"/>
          <w:spacing w:val="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r.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Nr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119, s.1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ze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zm.)</w:t>
      </w:r>
      <w:r w:rsidRPr="0040458A">
        <w:rPr>
          <w:rFonts w:asciiTheme="majorHAnsi" w:eastAsia="Times New Roman" w:hAnsiTheme="majorHAnsi" w:cstheme="majorHAnsi"/>
          <w:spacing w:val="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-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dalej: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„RODO” informuję, że:</w:t>
      </w:r>
    </w:p>
    <w:p w14:paraId="5D2E07E2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1"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Administratorem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Państwa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danych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jest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Wójt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Gminy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Żagań.</w:t>
      </w:r>
    </w:p>
    <w:p w14:paraId="49F149FC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62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Administrator wyznaczył Inspektora Ochrony Danych, z którym mogą się Państwo kontaktować we wszystkich sprawach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dotyczących przetwarzania danych osobowych za pośrednictwem adresu email:</w:t>
      </w:r>
      <w:r w:rsidRPr="0040458A">
        <w:rPr>
          <w:rFonts w:asciiTheme="majorHAnsi" w:eastAsia="Times New Roman" w:hAnsiTheme="majorHAnsi" w:cstheme="majorHAnsi"/>
          <w:color w:val="0000FF"/>
          <w:sz w:val="16"/>
          <w:szCs w:val="16"/>
        </w:rPr>
        <w:t xml:space="preserve"> </w:t>
      </w:r>
      <w:hyperlink r:id="rId6">
        <w:r w:rsidRPr="0040458A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 w:color="0000FF"/>
          </w:rPr>
          <w:t>kontakt@ndsp.pl</w:t>
        </w:r>
        <w:r w:rsidRPr="0040458A">
          <w:rPr>
            <w:rFonts w:asciiTheme="majorHAnsi" w:eastAsia="Times New Roman" w:hAnsiTheme="majorHAnsi" w:cstheme="majorHAnsi"/>
            <w:color w:val="0000FF"/>
            <w:sz w:val="16"/>
            <w:szCs w:val="16"/>
          </w:rPr>
          <w:t xml:space="preserve"> </w:t>
        </w:r>
      </w:hyperlink>
      <w:r w:rsidRPr="0040458A">
        <w:rPr>
          <w:rFonts w:asciiTheme="majorHAnsi" w:eastAsia="Times New Roman" w:hAnsiTheme="majorHAnsi" w:cstheme="majorHAnsi"/>
          <w:sz w:val="16"/>
          <w:szCs w:val="16"/>
        </w:rPr>
        <w:t>lub na adres Administratora.</w:t>
      </w:r>
    </w:p>
    <w:p w14:paraId="48B01D11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61" w:hanging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Państwa dane osobowe będą przetwarzane w celu realizacji zadań, jakie przepisy prawa nakładają na Wójta Gminy Żagań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pisemnie</w:t>
      </w:r>
      <w:r w:rsidRPr="0040458A">
        <w:rPr>
          <w:rFonts w:asciiTheme="majorHAnsi" w:eastAsia="Times New Roman" w:hAnsiTheme="majorHAnsi" w:cstheme="majorHAnsi"/>
          <w:spacing w:val="1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1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ramach</w:t>
      </w:r>
      <w:r w:rsidRPr="0040458A">
        <w:rPr>
          <w:rFonts w:asciiTheme="majorHAnsi" w:eastAsia="Times New Roman" w:hAnsiTheme="majorHAnsi" w:cstheme="majorHAnsi"/>
          <w:spacing w:val="1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sprawowania</w:t>
      </w:r>
      <w:r w:rsidRPr="0040458A">
        <w:rPr>
          <w:rFonts w:asciiTheme="majorHAnsi" w:eastAsia="Times New Roman" w:hAnsiTheme="majorHAnsi" w:cstheme="majorHAnsi"/>
          <w:spacing w:val="1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władzy</w:t>
      </w:r>
      <w:r w:rsidRPr="0040458A">
        <w:rPr>
          <w:rFonts w:asciiTheme="majorHAnsi" w:eastAsia="Times New Roman" w:hAnsiTheme="majorHAnsi" w:cstheme="majorHAnsi"/>
          <w:spacing w:val="1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publicznej,</w:t>
      </w:r>
      <w:r w:rsidRPr="0040458A">
        <w:rPr>
          <w:rFonts w:asciiTheme="majorHAnsi" w:eastAsia="Times New Roman" w:hAnsiTheme="majorHAnsi" w:cstheme="majorHAnsi"/>
          <w:spacing w:val="17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jak</w:t>
      </w:r>
      <w:r w:rsidRPr="0040458A">
        <w:rPr>
          <w:rFonts w:asciiTheme="majorHAnsi" w:eastAsia="Times New Roman" w:hAnsiTheme="majorHAnsi" w:cstheme="majorHAnsi"/>
          <w:spacing w:val="1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również</w:t>
      </w:r>
      <w:r w:rsidRPr="0040458A">
        <w:rPr>
          <w:rFonts w:asciiTheme="majorHAnsi" w:eastAsia="Times New Roman" w:hAnsiTheme="majorHAnsi" w:cstheme="majorHAnsi"/>
          <w:spacing w:val="20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1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celu</w:t>
      </w:r>
      <w:r w:rsidRPr="0040458A">
        <w:rPr>
          <w:rFonts w:asciiTheme="majorHAnsi" w:eastAsia="Times New Roman" w:hAnsiTheme="majorHAnsi" w:cstheme="majorHAnsi"/>
          <w:spacing w:val="1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realizacji</w:t>
      </w:r>
      <w:r w:rsidRPr="0040458A">
        <w:rPr>
          <w:rFonts w:asciiTheme="majorHAnsi" w:eastAsia="Times New Roman" w:hAnsiTheme="majorHAnsi" w:cstheme="majorHAnsi"/>
          <w:spacing w:val="1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praw</w:t>
      </w:r>
      <w:r w:rsidRPr="0040458A">
        <w:rPr>
          <w:rFonts w:asciiTheme="majorHAnsi" w:eastAsia="Times New Roman" w:hAnsiTheme="majorHAnsi" w:cstheme="majorHAnsi"/>
          <w:spacing w:val="1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oraz</w:t>
      </w:r>
      <w:r w:rsidRPr="0040458A">
        <w:rPr>
          <w:rFonts w:asciiTheme="majorHAnsi" w:eastAsia="Times New Roman" w:hAnsiTheme="majorHAnsi" w:cstheme="majorHAnsi"/>
          <w:spacing w:val="17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obowiązków</w:t>
      </w:r>
      <w:r w:rsidRPr="0040458A">
        <w:rPr>
          <w:rFonts w:asciiTheme="majorHAnsi" w:eastAsia="Times New Roman" w:hAnsiTheme="majorHAnsi" w:cstheme="majorHAnsi"/>
          <w:spacing w:val="17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wynikających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przepisów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prawa (art.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6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ust.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1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lit.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c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RODO), a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także</w:t>
      </w:r>
      <w:r w:rsidRPr="0040458A">
        <w:rPr>
          <w:rFonts w:asciiTheme="majorHAnsi" w:eastAsia="Times New Roman" w:hAnsiTheme="majorHAnsi" w:cstheme="majorHAnsi"/>
          <w:spacing w:val="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celu</w:t>
      </w:r>
      <w:r w:rsidRPr="0040458A">
        <w:rPr>
          <w:rFonts w:asciiTheme="majorHAnsi" w:eastAsia="Times New Roman" w:hAnsiTheme="majorHAnsi" w:cstheme="majorHAnsi"/>
          <w:spacing w:val="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załatwienia przedmiotowe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sprawy.</w:t>
      </w:r>
    </w:p>
    <w:p w14:paraId="2757EAD2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1" w:after="0" w:line="240" w:lineRule="auto"/>
        <w:ind w:right="269" w:hanging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 xml:space="preserve">Państwa dane osobowe będą przetwarzane przez okres niezbędny do realizacji ww. celu z uwzględnieniem okresów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br/>
        <w:t>przechowywania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określonych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przepisach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szczególnych,</w:t>
      </w:r>
      <w:r w:rsidRPr="0040458A">
        <w:rPr>
          <w:rFonts w:asciiTheme="majorHAnsi" w:eastAsia="Times New Roman" w:hAnsiTheme="majorHAnsi" w:cstheme="majorHAnsi"/>
          <w:spacing w:val="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tym przepisów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archiwalnych.</w:t>
      </w:r>
    </w:p>
    <w:p w14:paraId="72D8455D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28" w:lineRule="exact"/>
        <w:ind w:hanging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Państwa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dane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nie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będą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przetwarzane w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sposób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zautomatyzowany, w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tym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nie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będą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podlegać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profilowaniu.</w:t>
      </w:r>
    </w:p>
    <w:p w14:paraId="6DEA0123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68" w:hanging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Państwa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dane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osobowych</w:t>
      </w:r>
      <w:r w:rsidRPr="0040458A">
        <w:rPr>
          <w:rFonts w:asciiTheme="majorHAnsi" w:eastAsia="Times New Roman" w:hAnsiTheme="majorHAnsi" w:cstheme="majorHAnsi"/>
          <w:spacing w:val="-7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nie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będą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przekazywane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poza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Europejski</w:t>
      </w:r>
      <w:r w:rsidRPr="0040458A">
        <w:rPr>
          <w:rFonts w:asciiTheme="majorHAnsi" w:eastAsia="Times New Roman" w:hAnsiTheme="majorHAnsi" w:cstheme="majorHAnsi"/>
          <w:spacing w:val="-6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Obszar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Gospodarczy</w:t>
      </w:r>
      <w:r w:rsidRPr="0040458A">
        <w:rPr>
          <w:rFonts w:asciiTheme="majorHAnsi" w:eastAsia="Times New Roman" w:hAnsiTheme="majorHAnsi" w:cstheme="majorHAnsi"/>
          <w:spacing w:val="-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(obejmujący</w:t>
      </w:r>
      <w:r w:rsidRPr="0040458A">
        <w:rPr>
          <w:rFonts w:asciiTheme="majorHAnsi" w:eastAsia="Times New Roman" w:hAnsiTheme="majorHAnsi" w:cstheme="majorHAnsi"/>
          <w:spacing w:val="-9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Unię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Europejską,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Norwegię,</w:t>
      </w:r>
      <w:r w:rsidRPr="0040458A">
        <w:rPr>
          <w:rFonts w:asciiTheme="majorHAnsi" w:eastAsia="Times New Roman" w:hAnsiTheme="majorHAnsi" w:cstheme="majorHAnsi"/>
          <w:spacing w:val="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Liechtenstein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i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Islandię).</w:t>
      </w:r>
    </w:p>
    <w:p w14:paraId="453A7B66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1" w:after="0" w:line="229" w:lineRule="exact"/>
        <w:ind w:hanging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związku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przetwarzaniem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Państwa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danych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osobowych,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przysługują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Państwu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następujące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prawa:</w:t>
      </w:r>
    </w:p>
    <w:p w14:paraId="6F9CD03E" w14:textId="77777777" w:rsidR="00064D37" w:rsidRPr="0040458A" w:rsidRDefault="00064D37" w:rsidP="00064D37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after="0" w:line="229" w:lineRule="exact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prawo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dostępu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do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swoich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danych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oraz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otrzymania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ich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kopii;</w:t>
      </w:r>
    </w:p>
    <w:p w14:paraId="6DEDD2B5" w14:textId="77777777" w:rsidR="00064D37" w:rsidRPr="0040458A" w:rsidRDefault="00064D37" w:rsidP="00064D37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before="1"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prawo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do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sprostowania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(poprawiania)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swoich</w:t>
      </w:r>
      <w:r w:rsidRPr="0040458A">
        <w:rPr>
          <w:rFonts w:asciiTheme="majorHAnsi" w:eastAsia="Times New Roman" w:hAnsiTheme="majorHAnsi" w:cstheme="majorHAnsi"/>
          <w:spacing w:val="-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danych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osobowych;</w:t>
      </w:r>
    </w:p>
    <w:p w14:paraId="57B95114" w14:textId="77777777" w:rsidR="00064D37" w:rsidRPr="0040458A" w:rsidRDefault="00064D37" w:rsidP="00064D37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prawo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do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ograniczenia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przetwarzania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danych</w:t>
      </w:r>
      <w:r w:rsidRPr="0040458A">
        <w:rPr>
          <w:rFonts w:asciiTheme="majorHAnsi" w:eastAsia="Times New Roman" w:hAnsiTheme="majorHAnsi" w:cstheme="majorHAnsi"/>
          <w:spacing w:val="-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osobowych;</w:t>
      </w:r>
    </w:p>
    <w:p w14:paraId="7B6858AF" w14:textId="77777777" w:rsidR="00064D37" w:rsidRPr="0040458A" w:rsidRDefault="00064D37" w:rsidP="00064D37">
      <w:pPr>
        <w:widowControl w:val="0"/>
        <w:numPr>
          <w:ilvl w:val="1"/>
          <w:numId w:val="1"/>
        </w:numPr>
        <w:tabs>
          <w:tab w:val="left" w:pos="679"/>
        </w:tabs>
        <w:autoSpaceDE w:val="0"/>
        <w:autoSpaceDN w:val="0"/>
        <w:spacing w:after="0" w:line="240" w:lineRule="auto"/>
        <w:ind w:right="259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prawo wniesienia skargi do Prezesa Urzędu Ochrony Danych Osobowych (ul. Stawki 2, 00-193 Warszawa), w sytuacji, gdy</w:t>
      </w:r>
      <w:r w:rsidRPr="0040458A">
        <w:rPr>
          <w:rFonts w:asciiTheme="majorHAnsi" w:eastAsia="Times New Roman" w:hAnsiTheme="majorHAnsi" w:cstheme="majorHAnsi"/>
          <w:spacing w:val="-4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uzna Pani/Pan, że przetwarzanie danych osobowych narusza przepisy ogólnego rozporządzenia o ochronie danych osobowych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(RODO);</w:t>
      </w:r>
    </w:p>
    <w:p w14:paraId="6D1F2B68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91"/>
        </w:tabs>
        <w:autoSpaceDE w:val="0"/>
        <w:autoSpaceDN w:val="0"/>
        <w:spacing w:after="0" w:line="240" w:lineRule="auto"/>
        <w:ind w:left="690" w:right="268" w:hanging="438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Podanie przez Państwa danych osobowych jest obowiązkowe. Nieprzekazanie danych skutkować będzie brakiem realizacji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celu, o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którym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mowa</w:t>
      </w:r>
      <w:r w:rsidRPr="0040458A">
        <w:rPr>
          <w:rFonts w:asciiTheme="majorHAnsi" w:eastAsia="Times New Roman" w:hAnsiTheme="majorHAnsi" w:cstheme="majorHAnsi"/>
          <w:spacing w:val="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w</w:t>
      </w:r>
      <w:r w:rsidRPr="0040458A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punkcie 2.</w:t>
      </w:r>
    </w:p>
    <w:p w14:paraId="5FD11C1B" w14:textId="77777777" w:rsidR="00064D37" w:rsidRPr="0040458A" w:rsidRDefault="00064D37" w:rsidP="00064D37">
      <w:pPr>
        <w:widowControl w:val="0"/>
        <w:numPr>
          <w:ilvl w:val="0"/>
          <w:numId w:val="1"/>
        </w:numPr>
        <w:tabs>
          <w:tab w:val="left" w:pos="691"/>
        </w:tabs>
        <w:autoSpaceDE w:val="0"/>
        <w:autoSpaceDN w:val="0"/>
        <w:spacing w:before="1" w:after="0" w:line="240" w:lineRule="auto"/>
        <w:ind w:left="690" w:right="259" w:hanging="438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40458A">
        <w:rPr>
          <w:rFonts w:asciiTheme="majorHAnsi" w:eastAsia="Times New Roman" w:hAnsiTheme="majorHAnsi" w:cstheme="majorHAnsi"/>
          <w:sz w:val="16"/>
          <w:szCs w:val="16"/>
        </w:rPr>
        <w:t>Państwa</w:t>
      </w:r>
      <w:r w:rsidRPr="0040458A">
        <w:rPr>
          <w:rFonts w:asciiTheme="majorHAnsi" w:eastAsia="Times New Roman" w:hAnsiTheme="majorHAnsi" w:cstheme="majorHAnsi"/>
          <w:spacing w:val="2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dane</w:t>
      </w:r>
      <w:r w:rsidRPr="0040458A">
        <w:rPr>
          <w:rFonts w:asciiTheme="majorHAnsi" w:eastAsia="Times New Roman" w:hAnsiTheme="majorHAnsi" w:cstheme="majorHAnsi"/>
          <w:spacing w:val="25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mogą</w:t>
      </w:r>
      <w:r w:rsidRPr="0040458A">
        <w:rPr>
          <w:rFonts w:asciiTheme="majorHAnsi" w:eastAsia="Times New Roman" w:hAnsiTheme="majorHAnsi" w:cstheme="majorHAnsi"/>
          <w:spacing w:val="2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zostać</w:t>
      </w:r>
      <w:r w:rsidRPr="0040458A">
        <w:rPr>
          <w:rFonts w:asciiTheme="majorHAnsi" w:eastAsia="Times New Roman" w:hAnsiTheme="majorHAnsi" w:cstheme="majorHAnsi"/>
          <w:spacing w:val="2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przekazane</w:t>
      </w:r>
      <w:r w:rsidRPr="0040458A">
        <w:rPr>
          <w:rFonts w:asciiTheme="majorHAnsi" w:eastAsia="Times New Roman" w:hAnsiTheme="majorHAnsi" w:cstheme="majorHAnsi"/>
          <w:spacing w:val="2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podmiotom</w:t>
      </w:r>
      <w:r w:rsidRPr="0040458A">
        <w:rPr>
          <w:rFonts w:asciiTheme="majorHAnsi" w:eastAsia="Times New Roman" w:hAnsiTheme="majorHAnsi" w:cstheme="majorHAnsi"/>
          <w:spacing w:val="2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lub</w:t>
      </w:r>
      <w:r w:rsidRPr="0040458A">
        <w:rPr>
          <w:rFonts w:asciiTheme="majorHAnsi" w:eastAsia="Times New Roman" w:hAnsiTheme="majorHAnsi" w:cstheme="majorHAnsi"/>
          <w:spacing w:val="2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organom</w:t>
      </w:r>
      <w:r w:rsidRPr="0040458A">
        <w:rPr>
          <w:rFonts w:asciiTheme="majorHAnsi" w:eastAsia="Times New Roman" w:hAnsiTheme="majorHAnsi" w:cstheme="majorHAnsi"/>
          <w:spacing w:val="20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uprawnionym</w:t>
      </w:r>
      <w:r w:rsidRPr="0040458A">
        <w:rPr>
          <w:rFonts w:asciiTheme="majorHAnsi" w:eastAsia="Times New Roman" w:hAnsiTheme="majorHAnsi" w:cstheme="majorHAnsi"/>
          <w:spacing w:val="2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na</w:t>
      </w:r>
      <w:r w:rsidRPr="0040458A">
        <w:rPr>
          <w:rFonts w:asciiTheme="majorHAnsi" w:eastAsia="Times New Roman" w:hAnsiTheme="majorHAnsi" w:cstheme="majorHAnsi"/>
          <w:spacing w:val="2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podstawie</w:t>
      </w:r>
      <w:r w:rsidRPr="0040458A">
        <w:rPr>
          <w:rFonts w:asciiTheme="majorHAnsi" w:eastAsia="Times New Roman" w:hAnsiTheme="majorHAnsi" w:cstheme="majorHAnsi"/>
          <w:spacing w:val="2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przepisów</w:t>
      </w:r>
      <w:r w:rsidRPr="0040458A">
        <w:rPr>
          <w:rFonts w:asciiTheme="majorHAnsi" w:eastAsia="Times New Roman" w:hAnsiTheme="majorHAnsi" w:cstheme="majorHAnsi"/>
          <w:spacing w:val="20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prawa</w:t>
      </w:r>
      <w:r w:rsidRPr="0040458A">
        <w:rPr>
          <w:rFonts w:asciiTheme="majorHAnsi" w:eastAsia="Times New Roman" w:hAnsiTheme="majorHAnsi" w:cstheme="majorHAnsi"/>
          <w:spacing w:val="2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–</w:t>
      </w:r>
      <w:r w:rsidRPr="0040458A">
        <w:rPr>
          <w:rFonts w:asciiTheme="majorHAnsi" w:eastAsia="Times New Roman" w:hAnsiTheme="majorHAnsi" w:cstheme="majorHAnsi"/>
          <w:spacing w:val="24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ustawy</w:t>
      </w:r>
      <w:r w:rsidRPr="0040458A">
        <w:rPr>
          <w:rFonts w:asciiTheme="majorHAnsi" w:eastAsia="Times New Roman" w:hAnsiTheme="majorHAnsi" w:cstheme="majorHAnsi"/>
          <w:spacing w:val="-48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dnia 29</w:t>
      </w:r>
      <w:r w:rsidRPr="0040458A">
        <w:rPr>
          <w:rFonts w:asciiTheme="majorHAnsi" w:eastAsia="Times New Roman" w:hAnsiTheme="majorHAnsi" w:cstheme="majorHAnsi"/>
          <w:spacing w:val="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sierpnia 1997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r.</w:t>
      </w:r>
      <w:r w:rsidRPr="0040458A">
        <w:rPr>
          <w:rFonts w:asciiTheme="majorHAnsi" w:eastAsia="Times New Roman" w:hAnsiTheme="majorHAnsi" w:cstheme="majorHAnsi"/>
          <w:spacing w:val="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-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Ordynacja podatkowa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(</w:t>
      </w:r>
      <w:r w:rsidRPr="0040458A">
        <w:rPr>
          <w:rFonts w:asciiTheme="majorHAnsi" w:eastAsia="Times New Roman" w:hAnsiTheme="majorHAnsi" w:cstheme="majorHAnsi"/>
          <w:color w:val="FF0000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Dz.U.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 2020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r.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poz.</w:t>
      </w:r>
      <w:r w:rsidRPr="0040458A">
        <w:rPr>
          <w:rFonts w:asciiTheme="majorHAnsi" w:eastAsia="Times New Roman" w:hAnsiTheme="majorHAnsi" w:cstheme="majorHAnsi"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1325</w:t>
      </w:r>
      <w:r w:rsidRPr="0040458A">
        <w:rPr>
          <w:rFonts w:asciiTheme="majorHAnsi" w:eastAsia="Times New Roman" w:hAnsiTheme="majorHAnsi" w:cstheme="majorHAnsi"/>
          <w:spacing w:val="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 xml:space="preserve">z </w:t>
      </w:r>
      <w:proofErr w:type="spellStart"/>
      <w:r w:rsidRPr="0040458A">
        <w:rPr>
          <w:rFonts w:asciiTheme="majorHAnsi" w:eastAsia="Times New Roman" w:hAnsiTheme="majorHAnsi" w:cstheme="majorHAnsi"/>
          <w:sz w:val="16"/>
          <w:szCs w:val="16"/>
        </w:rPr>
        <w:t>późn</w:t>
      </w:r>
      <w:proofErr w:type="spellEnd"/>
      <w:r w:rsidRPr="0040458A">
        <w:rPr>
          <w:rFonts w:asciiTheme="majorHAnsi" w:eastAsia="Times New Roman" w:hAnsiTheme="majorHAnsi" w:cstheme="majorHAnsi"/>
          <w:sz w:val="16"/>
          <w:szCs w:val="16"/>
        </w:rPr>
        <w:t>.</w:t>
      </w:r>
      <w:r w:rsidRPr="0040458A">
        <w:rPr>
          <w:rFonts w:asciiTheme="majorHAnsi" w:eastAsia="Times New Roman" w:hAnsiTheme="majorHAnsi" w:cstheme="majorHAnsi"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sz w:val="16"/>
          <w:szCs w:val="16"/>
        </w:rPr>
        <w:t>zm.).</w:t>
      </w:r>
    </w:p>
    <w:p w14:paraId="7430243A" w14:textId="77777777" w:rsidR="00064D37" w:rsidRPr="00660D8F" w:rsidRDefault="00064D37" w:rsidP="00064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EABEE7" w14:textId="77777777" w:rsidR="00064D37" w:rsidRDefault="00064D37" w:rsidP="00064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AA8B3E" w14:textId="77777777" w:rsidR="00064D37" w:rsidRDefault="00064D37" w:rsidP="00064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ACB5F2" w14:textId="77777777" w:rsidR="00064D37" w:rsidRDefault="00064D37" w:rsidP="00064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2CCD863" w14:textId="77777777" w:rsidR="00064D37" w:rsidRPr="00660D8F" w:rsidRDefault="00064D37" w:rsidP="00064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D322F3" w14:textId="3B70EB11" w:rsidR="00064D37" w:rsidRPr="00064D37" w:rsidRDefault="00064D37" w:rsidP="00064D37">
      <w:pPr>
        <w:widowControl w:val="0"/>
        <w:autoSpaceDE w:val="0"/>
        <w:autoSpaceDN w:val="0"/>
        <w:spacing w:after="0" w:line="240" w:lineRule="auto"/>
        <w:ind w:left="5547" w:right="463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660D8F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40458A">
        <w:rPr>
          <w:rFonts w:asciiTheme="majorHAnsi" w:eastAsia="Times New Roman" w:hAnsiTheme="majorHAnsi" w:cstheme="majorHAnsi"/>
          <w:b/>
          <w:sz w:val="16"/>
          <w:szCs w:val="16"/>
        </w:rPr>
        <w:t>(data</w:t>
      </w:r>
      <w:r w:rsidRPr="0040458A">
        <w:rPr>
          <w:rFonts w:asciiTheme="majorHAnsi" w:eastAsia="Times New Roman" w:hAnsiTheme="majorHAnsi" w:cstheme="majorHAnsi"/>
          <w:b/>
          <w:spacing w:val="-1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b/>
          <w:sz w:val="16"/>
          <w:szCs w:val="16"/>
        </w:rPr>
        <w:t>i</w:t>
      </w:r>
      <w:r w:rsidRPr="0040458A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b/>
          <w:sz w:val="16"/>
          <w:szCs w:val="16"/>
        </w:rPr>
        <w:t>czytelny</w:t>
      </w:r>
      <w:r w:rsidRPr="0040458A">
        <w:rPr>
          <w:rFonts w:asciiTheme="majorHAnsi" w:eastAsia="Times New Roman" w:hAnsiTheme="majorHAnsi" w:cstheme="majorHAnsi"/>
          <w:b/>
          <w:spacing w:val="-2"/>
          <w:sz w:val="16"/>
          <w:szCs w:val="16"/>
        </w:rPr>
        <w:t xml:space="preserve"> </w:t>
      </w:r>
      <w:r w:rsidRPr="0040458A">
        <w:rPr>
          <w:rFonts w:asciiTheme="majorHAnsi" w:eastAsia="Times New Roman" w:hAnsiTheme="majorHAnsi" w:cstheme="majorHAnsi"/>
          <w:b/>
          <w:sz w:val="16"/>
          <w:szCs w:val="16"/>
        </w:rPr>
        <w:t>podpis)</w:t>
      </w:r>
    </w:p>
    <w:sectPr w:rsidR="00064D37" w:rsidRPr="0006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55F4"/>
    <w:multiLevelType w:val="hybridMultilevel"/>
    <w:tmpl w:val="6BD66530"/>
    <w:lvl w:ilvl="0" w:tplc="7CB6C4F4">
      <w:start w:val="1"/>
      <w:numFmt w:val="decimal"/>
      <w:lvlText w:val="%1)"/>
      <w:lvlJc w:val="left"/>
      <w:pPr>
        <w:ind w:left="67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78178C">
      <w:start w:val="1"/>
      <w:numFmt w:val="lowerLetter"/>
      <w:lvlText w:val="%2)"/>
      <w:lvlJc w:val="left"/>
      <w:pPr>
        <w:ind w:left="67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5C674AC">
      <w:numFmt w:val="bullet"/>
      <w:lvlText w:val="•"/>
      <w:lvlJc w:val="left"/>
      <w:pPr>
        <w:ind w:left="2717" w:hanging="284"/>
      </w:pPr>
      <w:rPr>
        <w:rFonts w:hint="default"/>
        <w:lang w:val="pl-PL" w:eastAsia="en-US" w:bidi="ar-SA"/>
      </w:rPr>
    </w:lvl>
    <w:lvl w:ilvl="3" w:tplc="56C42EAE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4" w:tplc="4E50AD2C">
      <w:numFmt w:val="bullet"/>
      <w:lvlText w:val="•"/>
      <w:lvlJc w:val="left"/>
      <w:pPr>
        <w:ind w:left="4754" w:hanging="284"/>
      </w:pPr>
      <w:rPr>
        <w:rFonts w:hint="default"/>
        <w:lang w:val="pl-PL" w:eastAsia="en-US" w:bidi="ar-SA"/>
      </w:rPr>
    </w:lvl>
    <w:lvl w:ilvl="5" w:tplc="1D162F38">
      <w:numFmt w:val="bullet"/>
      <w:lvlText w:val="•"/>
      <w:lvlJc w:val="left"/>
      <w:pPr>
        <w:ind w:left="5773" w:hanging="284"/>
      </w:pPr>
      <w:rPr>
        <w:rFonts w:hint="default"/>
        <w:lang w:val="pl-PL" w:eastAsia="en-US" w:bidi="ar-SA"/>
      </w:rPr>
    </w:lvl>
    <w:lvl w:ilvl="6" w:tplc="032269E4">
      <w:numFmt w:val="bullet"/>
      <w:lvlText w:val="•"/>
      <w:lvlJc w:val="left"/>
      <w:pPr>
        <w:ind w:left="6791" w:hanging="284"/>
      </w:pPr>
      <w:rPr>
        <w:rFonts w:hint="default"/>
        <w:lang w:val="pl-PL" w:eastAsia="en-US" w:bidi="ar-SA"/>
      </w:rPr>
    </w:lvl>
    <w:lvl w:ilvl="7" w:tplc="E9609514">
      <w:numFmt w:val="bullet"/>
      <w:lvlText w:val="•"/>
      <w:lvlJc w:val="left"/>
      <w:pPr>
        <w:ind w:left="7810" w:hanging="284"/>
      </w:pPr>
      <w:rPr>
        <w:rFonts w:hint="default"/>
        <w:lang w:val="pl-PL" w:eastAsia="en-US" w:bidi="ar-SA"/>
      </w:rPr>
    </w:lvl>
    <w:lvl w:ilvl="8" w:tplc="9034BAAC">
      <w:numFmt w:val="bullet"/>
      <w:lvlText w:val="•"/>
      <w:lvlJc w:val="left"/>
      <w:pPr>
        <w:ind w:left="8829" w:hanging="284"/>
      </w:pPr>
      <w:rPr>
        <w:rFonts w:hint="default"/>
        <w:lang w:val="pl-PL" w:eastAsia="en-US" w:bidi="ar-SA"/>
      </w:rPr>
    </w:lvl>
  </w:abstractNum>
  <w:num w:numId="1" w16cid:durableId="138840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37"/>
    <w:rsid w:val="00064D37"/>
    <w:rsid w:val="006D2584"/>
    <w:rsid w:val="00B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45CD"/>
  <w15:chartTrackingRefBased/>
  <w15:docId w15:val="{C2D56F37-5BE8-4452-A54B-E7EA0AF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ndsp.pl" TargetMode="External"/><Relationship Id="rId5" Type="http://schemas.openxmlformats.org/officeDocument/2006/relationships/hyperlink" Target="https://sip.legalis.pl/document-view.seam?documentId=mfrxilrtg4ytmmrzgyydcltqmfyc4njyheydkoj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Buganik</dc:creator>
  <cp:keywords/>
  <dc:description/>
  <cp:lastModifiedBy>Dawid Buganik</cp:lastModifiedBy>
  <cp:revision>2</cp:revision>
  <dcterms:created xsi:type="dcterms:W3CDTF">2023-06-23T07:54:00Z</dcterms:created>
  <dcterms:modified xsi:type="dcterms:W3CDTF">2023-06-23T08:04:00Z</dcterms:modified>
</cp:coreProperties>
</file>